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cs="Times New Roman" w:ascii="Times New Roman" w:hAnsi="Times New Roman"/>
          <w:b/>
          <w:bCs/>
          <w:sz w:val="24"/>
          <w:szCs w:val="24"/>
          <w:lang w:val="en-US"/>
        </w:rPr>
        <w:t>Checklist for Completing the AMC Share Count Affidavit</w:t>
      </w:r>
    </w:p>
    <w:p>
      <w:pPr>
        <w:pStyle w:val="Normal"/>
        <w:rPr>
          <w:rFonts w:ascii="Times New Roman" w:hAnsi="Times New Roman"/>
          <w:sz w:val="24"/>
          <w:szCs w:val="24"/>
        </w:rPr>
      </w:pPr>
      <w:r>
        <w:rPr>
          <w:rFonts w:cs="Times New Roman" w:ascii="Times New Roman" w:hAnsi="Times New Roman"/>
          <w:sz w:val="24"/>
          <w:szCs w:val="24"/>
          <w:lang w:val="en-US"/>
        </w:rPr>
        <w:t xml:space="preserve">This document provides a checklist and instructions on the step by step process to complete the AMC Share Count affidavit and submit it to the website. Participation is entirely voluntary. If you have general questions, you can submit questions on the </w:t>
      </w:r>
      <w:r>
        <w:rPr>
          <w:rFonts w:cs="Times New Roman" w:ascii="Times New Roman" w:hAnsi="Times New Roman"/>
          <w:b w:val="false"/>
          <w:bCs w:val="false"/>
          <w:sz w:val="24"/>
          <w:szCs w:val="24"/>
          <w:lang w:val="en-US"/>
        </w:rPr>
        <w:t>help tab.</w:t>
      </w:r>
      <w:r>
        <w:rPr>
          <w:rFonts w:cs="Times New Roman" w:ascii="Times New Roman" w:hAnsi="Times New Roman"/>
          <w:b/>
          <w:bCs/>
          <w:sz w:val="24"/>
          <w:szCs w:val="24"/>
          <w:lang w:val="en-US"/>
        </w:rPr>
        <w:t xml:space="preserve"> </w:t>
      </w:r>
    </w:p>
    <w:tbl>
      <w:tblPr>
        <w:tblStyle w:val="6"/>
        <w:tblW w:w="9846" w:type="dxa"/>
        <w:jc w:val="left"/>
        <w:tblInd w:w="0" w:type="dxa"/>
        <w:tblLayout w:type="fixed"/>
        <w:tblCellMar>
          <w:top w:w="0" w:type="dxa"/>
          <w:left w:w="108" w:type="dxa"/>
          <w:bottom w:w="0" w:type="dxa"/>
          <w:right w:w="108" w:type="dxa"/>
        </w:tblCellMar>
      </w:tblPr>
      <w:tblGrid>
        <w:gridCol w:w="506"/>
        <w:gridCol w:w="8898"/>
        <w:gridCol w:w="442"/>
      </w:tblGrid>
      <w:tr>
        <w:trPr/>
        <w:tc>
          <w:tcPr>
            <w:tcW w:w="506" w:type="dxa"/>
            <w:tcBorders/>
          </w:tcPr>
          <w:p>
            <w:pPr>
              <w:pStyle w:val="Normal"/>
              <w:widowControl w:val="false"/>
              <w:suppressAutoHyphens w:val="true"/>
              <w:spacing w:before="0" w:after="0"/>
              <w:jc w:val="both"/>
              <w:rPr>
                <w:rFonts w:ascii="Times New Roman" w:hAnsi="Times New Roman" w:cs="Times New Roman"/>
                <w:b/>
                <w:b/>
                <w:bCs/>
                <w:position w:val="0"/>
                <w:sz w:val="24"/>
                <w:sz w:val="24"/>
                <w:szCs w:val="24"/>
                <w:vertAlign w:val="baseline"/>
                <w:lang w:val="en-US"/>
              </w:rPr>
            </w:pPr>
            <w:r>
              <w:rPr>
                <w:rFonts w:cs="Times New Roman" w:ascii="Times New Roman" w:hAnsi="Times New Roman"/>
                <w:b/>
                <w:bCs/>
                <w:kern w:val="0"/>
                <w:position w:val="0"/>
                <w:sz w:val="24"/>
                <w:sz w:val="24"/>
                <w:szCs w:val="24"/>
                <w:vertAlign w:val="baseline"/>
                <w:lang w:val="en-US"/>
              </w:rPr>
              <w:t>#</w:t>
            </w:r>
          </w:p>
        </w:tc>
        <w:tc>
          <w:tcPr>
            <w:tcW w:w="8898" w:type="dxa"/>
            <w:tcBorders/>
          </w:tcPr>
          <w:p>
            <w:pPr>
              <w:pStyle w:val="Normal"/>
              <w:widowControl w:val="false"/>
              <w:suppressAutoHyphens w:val="true"/>
              <w:spacing w:before="0" w:after="0"/>
              <w:jc w:val="both"/>
              <w:rPr>
                <w:rFonts w:ascii="Times New Roman" w:hAnsi="Times New Roman" w:cs="Times New Roman"/>
                <w:b/>
                <w:b/>
                <w:bCs/>
                <w:position w:val="0"/>
                <w:sz w:val="24"/>
                <w:sz w:val="24"/>
                <w:szCs w:val="24"/>
                <w:vertAlign w:val="baseline"/>
                <w:lang w:val="en-US"/>
              </w:rPr>
            </w:pPr>
            <w:r>
              <w:rPr>
                <w:rFonts w:cs="Times New Roman" w:ascii="Times New Roman" w:hAnsi="Times New Roman"/>
                <w:b/>
                <w:bCs/>
                <w:kern w:val="0"/>
                <w:position w:val="0"/>
                <w:sz w:val="24"/>
                <w:sz w:val="24"/>
                <w:szCs w:val="24"/>
                <w:vertAlign w:val="baseline"/>
                <w:lang w:val="en-US"/>
              </w:rPr>
              <w:t>Step</w:t>
            </w:r>
          </w:p>
        </w:tc>
        <w:tc>
          <w:tcPr>
            <w:tcW w:w="442" w:type="dxa"/>
            <w:tcBorders/>
          </w:tcPr>
          <w:p>
            <w:pPr>
              <w:pStyle w:val="Normal"/>
              <w:widowControl w:val="false"/>
              <w:suppressAutoHyphens w:val="true"/>
              <w:spacing w:before="0" w:after="0"/>
              <w:jc w:val="both"/>
              <w:rPr>
                <w:rFonts w:ascii="Times New Roman" w:hAnsi="Times New Roman" w:cs="Wingdings 2"/>
                <w:position w:val="0"/>
                <w:sz w:val="24"/>
                <w:sz w:val="24"/>
                <w:szCs w:val="24"/>
                <w:vertAlign w:val="baseline"/>
                <w:lang w:val="en-US"/>
              </w:rPr>
            </w:pPr>
            <w:r>
              <w:rPr>
                <w:rFonts w:eastAsia="Wingdings 2" w:cs="Wingdings 2" w:ascii="Times New Roman" w:hAnsi="Times New Roman"/>
                <w:b/>
                <w:bCs/>
                <w:kern w:val="0"/>
                <w:position w:val="0"/>
                <w:sz w:val="24"/>
                <w:sz w:val="24"/>
                <w:szCs w:val="24"/>
                <w:vertAlign w:val="baseline"/>
                <w:lang w:val="en-US"/>
              </w:rPr>
              <w:t>R</w:t>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1</w:t>
            </w:r>
          </w:p>
        </w:tc>
        <w:tc>
          <w:tcPr>
            <w:tcW w:w="8898" w:type="dxa"/>
            <w:tcBorders/>
          </w:tcPr>
          <w:p>
            <w:pPr>
              <w:pStyle w:val="Normal"/>
              <w:widowControl w:val="false"/>
              <w:numPr>
                <w:ilvl w:val="0"/>
                <w:numId w:val="0"/>
              </w:numPr>
              <w:suppressAutoHyphens w:val="true"/>
              <w:spacing w:before="0" w:after="0"/>
              <w:ind w:left="0" w:hanging="0"/>
              <w:jc w:val="both"/>
              <w:rPr/>
            </w:pPr>
            <w:r>
              <w:rPr>
                <w:rFonts w:cs="Times New Roman" w:ascii="Times New Roman" w:hAnsi="Times New Roman"/>
                <w:kern w:val="0"/>
                <w:sz w:val="24"/>
                <w:szCs w:val="24"/>
                <w:lang w:val="en-US"/>
              </w:rPr>
              <w:t xml:space="preserve">Go to following website: </w:t>
            </w:r>
            <w:hyperlink r:id="rId2">
              <w:r>
                <w:rPr>
                  <w:rStyle w:val="InternetLink"/>
                  <w:rFonts w:ascii="Times New Roman" w:hAnsi="Times New Roman"/>
                  <w:b/>
                  <w:bCs/>
                  <w:kern w:val="0"/>
                  <w:sz w:val="24"/>
                  <w:szCs w:val="24"/>
                  <w:lang w:val="en-US"/>
                </w:rPr>
                <w:t>https://amcprojectpopcorn.com</w:t>
              </w:r>
            </w:hyperlink>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2</w:t>
            </w:r>
          </w:p>
        </w:tc>
        <w:tc>
          <w:tcPr>
            <w:tcW w:w="8898"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position w:val="0"/>
                <w:sz w:val="24"/>
                <w:sz w:val="24"/>
                <w:szCs w:val="24"/>
                <w:vertAlign w:val="baseline"/>
                <w:lang w:val="en-US"/>
              </w:rPr>
              <w:t>Download the affidavit for the AMC Share Count to your computer.</w:t>
            </w:r>
            <w:r>
              <w:rPr>
                <w:rFonts w:cs="Times New Roman" w:ascii="Times New Roman" w:hAnsi="Times New Roman"/>
                <w:kern w:val="0"/>
                <w:position w:val="0"/>
                <w:sz w:val="24"/>
                <w:sz w:val="24"/>
                <w:szCs w:val="24"/>
                <w:vertAlign w:val="baseline"/>
                <w:lang w:val="en-US"/>
              </w:rPr>
              <w:t xml:space="preserve"> </w:t>
            </w:r>
            <w:r>
              <w:rPr>
                <w:rFonts w:cs="Times New Roman" w:ascii="Times New Roman" w:hAnsi="Times New Roman"/>
                <w:kern w:val="0"/>
                <w:sz w:val="24"/>
                <w:szCs w:val="24"/>
              </w:rPr>
              <w:t xml:space="preserve">To eliminate the need for translation, the affidavit must be written in English (PDF Format) or (Word Format) and uploaded in that language. However, we do offer a corresponding in International Languages PDF example for your reference. </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3</w:t>
            </w:r>
          </w:p>
        </w:tc>
        <w:tc>
          <w:tcPr>
            <w:tcW w:w="8898" w:type="dxa"/>
            <w:tcBorders/>
          </w:tcPr>
          <w:p>
            <w:pPr>
              <w:pStyle w:val="Normal"/>
              <w:widowControl w:val="false"/>
              <w:suppressAutoHyphens w:val="true"/>
              <w:spacing w:before="0" w:after="0"/>
              <w:jc w:val="both"/>
              <w:rPr>
                <w:rFonts w:ascii="Times New Roman" w:hAnsi="Times New Roman"/>
                <w:position w:val="0"/>
                <w:sz w:val="24"/>
                <w:sz w:val="24"/>
                <w:szCs w:val="24"/>
                <w:vertAlign w:val="baseline"/>
                <w:lang w:val="en-US"/>
              </w:rPr>
            </w:pPr>
            <w:r>
              <w:rPr>
                <w:rFonts w:ascii="Times New Roman" w:hAnsi="Times New Roman"/>
                <w:kern w:val="0"/>
                <w:position w:val="0"/>
                <w:sz w:val="24"/>
                <w:sz w:val="24"/>
                <w:szCs w:val="24"/>
                <w:vertAlign w:val="baseline"/>
                <w:lang w:val="en-US"/>
              </w:rPr>
              <w:t>Login to your brokerage accounts that held your AMC and/or APE shares</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4</w:t>
            </w:r>
          </w:p>
        </w:tc>
        <w:tc>
          <w:tcPr>
            <w:tcW w:w="8898" w:type="dxa"/>
            <w:tcBorders/>
          </w:tcPr>
          <w:p>
            <w:pPr>
              <w:pStyle w:val="Normal"/>
              <w:widowControl w:val="false"/>
              <w:suppressAutoHyphens w:val="true"/>
              <w:spacing w:before="0" w:after="0"/>
              <w:jc w:val="both"/>
              <w:rPr>
                <w:rFonts w:ascii="Times New Roman" w:hAnsi="Times New Roman"/>
                <w:position w:val="0"/>
                <w:sz w:val="24"/>
                <w:sz w:val="24"/>
                <w:szCs w:val="24"/>
                <w:vertAlign w:val="baseline"/>
                <w:lang w:val="en-US"/>
              </w:rPr>
            </w:pPr>
            <w:r>
              <w:rPr>
                <w:rFonts w:ascii="Times New Roman" w:hAnsi="Times New Roman"/>
                <w:kern w:val="0"/>
                <w:position w:val="0"/>
                <w:sz w:val="24"/>
                <w:sz w:val="24"/>
                <w:szCs w:val="24"/>
                <w:vertAlign w:val="baseline"/>
                <w:lang w:val="en-US"/>
              </w:rPr>
              <w:t>Download and/or Print your brokerage statements (and/or trading history) for August 2022, February 2023, July 2023, and August 2023. Keep these records.</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5</w:t>
            </w:r>
          </w:p>
        </w:tc>
        <w:tc>
          <w:tcPr>
            <w:tcW w:w="8898"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position w:val="0"/>
                <w:sz w:val="24"/>
                <w:sz w:val="24"/>
                <w:szCs w:val="24"/>
                <w:vertAlign w:val="baseline"/>
                <w:lang w:val="en-US"/>
              </w:rPr>
              <w:t xml:space="preserve">Then fill out the fill in the blank sections on the affidavit with the </w:t>
            </w:r>
            <w:r>
              <w:rPr>
                <w:rFonts w:ascii="Times New Roman" w:hAnsi="Times New Roman"/>
                <w:b/>
                <w:bCs/>
                <w:kern w:val="0"/>
                <w:position w:val="0"/>
                <w:sz w:val="24"/>
                <w:sz w:val="24"/>
                <w:szCs w:val="24"/>
                <w:vertAlign w:val="baseline"/>
                <w:lang w:val="en-US"/>
              </w:rPr>
              <w:t>total of how many AMC and APE shares you held in all accounts</w:t>
            </w:r>
            <w:r>
              <w:rPr>
                <w:rFonts w:ascii="Times New Roman" w:hAnsi="Times New Roman"/>
                <w:kern w:val="0"/>
                <w:position w:val="0"/>
                <w:sz w:val="24"/>
                <w:sz w:val="24"/>
                <w:szCs w:val="24"/>
                <w:vertAlign w:val="baseline"/>
                <w:lang w:val="en-US"/>
              </w:rPr>
              <w:t xml:space="preserve"> at the specific times requested on the affidavit (you can reference brokerage statements (and/or trading history) to complete those sections. Also list how you voted in the March 14, 2023 vote (or if you did not receive voting materials). Note for </w:t>
            </w:r>
            <w:r>
              <w:rPr>
                <w:rFonts w:ascii="Times New Roman" w:hAnsi="Times New Roman"/>
                <w:b/>
                <w:bCs/>
                <w:kern w:val="0"/>
                <w:position w:val="0"/>
                <w:sz w:val="24"/>
                <w:sz w:val="24"/>
                <w:szCs w:val="24"/>
                <w:vertAlign w:val="baseline"/>
                <w:lang w:val="en-US"/>
              </w:rPr>
              <w:t>International Shareholders: the top of the page asks for State and County, you can revise to list your region as needed.</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6</w:t>
            </w:r>
          </w:p>
        </w:tc>
        <w:tc>
          <w:tcPr>
            <w:tcW w:w="8898" w:type="dxa"/>
            <w:tcBorders/>
          </w:tcPr>
          <w:p>
            <w:pPr>
              <w:pStyle w:val="Normal"/>
              <w:widowControl w:val="false"/>
              <w:suppressAutoHyphens w:val="true"/>
              <w:spacing w:before="0" w:after="0"/>
              <w:jc w:val="both"/>
              <w:rPr>
                <w:rFonts w:ascii="Times New Roman" w:hAnsi="Times New Roman"/>
                <w:position w:val="0"/>
                <w:sz w:val="24"/>
                <w:sz w:val="24"/>
                <w:szCs w:val="24"/>
                <w:vertAlign w:val="baseline"/>
                <w:lang w:val="en-US"/>
              </w:rPr>
            </w:pPr>
            <w:r>
              <w:rPr>
                <w:rFonts w:ascii="Times New Roman" w:hAnsi="Times New Roman"/>
                <w:kern w:val="0"/>
                <w:position w:val="0"/>
                <w:sz w:val="24"/>
                <w:sz w:val="24"/>
                <w:szCs w:val="24"/>
                <w:vertAlign w:val="baseline"/>
                <w:lang w:val="en-US"/>
              </w:rPr>
              <w:t>Reminder: the affidavit is a legally binding document - so it is very important to be as accurate as possible when filing out your share information.</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7</w:t>
            </w:r>
          </w:p>
        </w:tc>
        <w:tc>
          <w:tcPr>
            <w:tcW w:w="8898"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b/>
                <w:bCs/>
                <w:kern w:val="0"/>
                <w:position w:val="0"/>
                <w:sz w:val="24"/>
                <w:sz w:val="24"/>
                <w:szCs w:val="24"/>
                <w:vertAlign w:val="baseline"/>
                <w:lang w:val="en-US"/>
              </w:rPr>
              <w:t xml:space="preserve">Before Signing the bottom of the affidavit, find a notary to notarize the affidavit either in person or online. Many personal banks notarize for FREE. </w:t>
            </w:r>
            <w:r>
              <w:rPr>
                <w:rFonts w:ascii="Times New Roman" w:hAnsi="Times New Roman"/>
                <w:b/>
                <w:bCs/>
                <w:kern w:val="0"/>
                <w:position w:val="0"/>
                <w:sz w:val="24"/>
                <w:sz w:val="24"/>
                <w:szCs w:val="24"/>
                <w:vertAlign w:val="baseline"/>
                <w:lang w:val="en-US"/>
              </w:rPr>
              <w:t xml:space="preserve">Or use the Free Online Notary for </w:t>
            </w:r>
            <w:r>
              <w:rPr>
                <w:rFonts w:eastAsia="宋体" w:cs="" w:ascii="Times New Roman" w:hAnsi="Times New Roman" w:cstheme="minorBidi" w:eastAsiaTheme="minorEastAsia"/>
                <w:b/>
                <w:bCs/>
                <w:color w:val="auto"/>
                <w:kern w:val="0"/>
                <w:position w:val="0"/>
                <w:sz w:val="24"/>
                <w:sz w:val="24"/>
                <w:szCs w:val="24"/>
                <w:vertAlign w:val="baseline"/>
                <w:lang w:val="en-US" w:eastAsia="zh-CN" w:bidi="ar-SA"/>
              </w:rPr>
              <w:t>the Retails.</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8</w:t>
            </w:r>
          </w:p>
        </w:tc>
        <w:tc>
          <w:tcPr>
            <w:tcW w:w="8898" w:type="dxa"/>
            <w:tcBorders/>
          </w:tcPr>
          <w:p>
            <w:pPr>
              <w:pStyle w:val="TextBody"/>
              <w:widowControl w:val="false"/>
              <w:suppressAutoHyphens w:val="true"/>
              <w:spacing w:before="0" w:after="0"/>
              <w:jc w:val="left"/>
              <w:rPr>
                <w:rFonts w:ascii="Times New Roman" w:hAnsi="Times New Roman"/>
                <w:position w:val="0"/>
                <w:sz w:val="24"/>
                <w:sz w:val="24"/>
                <w:szCs w:val="24"/>
                <w:vertAlign w:val="baseline"/>
                <w:lang w:val="en-US"/>
              </w:rPr>
            </w:pPr>
            <w:r>
              <w:rPr>
                <w:rFonts w:ascii="Times New Roman" w:hAnsi="Times New Roman"/>
                <w:b/>
                <w:bCs/>
                <w:kern w:val="0"/>
                <w:position w:val="0"/>
                <w:sz w:val="28"/>
                <w:sz w:val="28"/>
                <w:szCs w:val="28"/>
                <w:vertAlign w:val="baseline"/>
                <w:lang w:val="en-US"/>
              </w:rPr>
              <w:t xml:space="preserve">For Free online Notary, please, send a message to Mr. Matt at: </w:t>
            </w:r>
            <w:hyperlink r:id="rId3">
              <w:r>
                <w:rPr>
                  <w:rStyle w:val="InternetLink"/>
                  <w:rFonts w:ascii="Times New Roman" w:hAnsi="Times New Roman"/>
                  <w:b/>
                  <w:bCs/>
                  <w:kern w:val="0"/>
                  <w:position w:val="0"/>
                  <w:sz w:val="28"/>
                  <w:sz w:val="28"/>
                  <w:szCs w:val="28"/>
                  <w:u w:val="none"/>
                  <w:vertAlign w:val="baseline"/>
                  <w:lang w:val="en-US"/>
                </w:rPr>
                <w:t>https://twitter.com/RbiTriples</w:t>
              </w:r>
            </w:hyperlink>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9a</w:t>
            </w:r>
          </w:p>
        </w:tc>
        <w:tc>
          <w:tcPr>
            <w:tcW w:w="8898" w:type="dxa"/>
            <w:tcBorders/>
          </w:tcPr>
          <w:p>
            <w:pPr>
              <w:pStyle w:val="TextBody"/>
              <w:widowControl w:val="false"/>
              <w:suppressAutoHyphens w:val="true"/>
              <w:spacing w:before="0" w:after="0"/>
              <w:jc w:val="both"/>
              <w:rPr>
                <w:rFonts w:ascii="Times New Roman" w:hAnsi="Times New Roman"/>
                <w:sz w:val="24"/>
                <w:szCs w:val="24"/>
              </w:rPr>
            </w:pPr>
            <w:r>
              <w:rPr>
                <w:rFonts w:ascii="Times New Roman" w:hAnsi="Times New Roman"/>
                <w:b/>
                <w:bCs/>
                <w:kern w:val="0"/>
                <w:position w:val="0"/>
                <w:sz w:val="24"/>
                <w:sz w:val="24"/>
                <w:szCs w:val="24"/>
                <w:vertAlign w:val="baseline"/>
                <w:lang w:val="en-US"/>
              </w:rPr>
              <w:t>We've created a spreadsheet tool to assist you in determining the number of shares you hold. To use this tool, please open your monthly statement from your brokerage - for instance, the statement from August 2022. Input the necessary details where prompted, and the spreadsheet will automatically calculate the figures for you.</w:t>
            </w:r>
          </w:p>
          <w:p>
            <w:pPr>
              <w:pStyle w:val="TextBody"/>
              <w:rPr>
                <w:rFonts w:ascii="Times New Roman" w:hAnsi="Times New Roman"/>
                <w:sz w:val="24"/>
                <w:szCs w:val="24"/>
              </w:rPr>
            </w:pPr>
            <w:r>
              <w:rPr>
                <w:rFonts w:ascii="Times New Roman" w:hAnsi="Times New Roman"/>
                <w:sz w:val="24"/>
                <w:szCs w:val="24"/>
              </w:rPr>
              <w:t>Once you have these figures, you can easily include them in your Affidavit.</w:t>
            </w:r>
          </w:p>
          <w:p>
            <w:pPr>
              <w:pStyle w:val="TextBody"/>
              <w:spacing w:before="0" w:after="140"/>
              <w:rPr/>
            </w:pPr>
            <w:r>
              <w:rPr>
                <w:rFonts w:ascii="Times New Roman" w:hAnsi="Times New Roman"/>
                <w:sz w:val="24"/>
                <w:szCs w:val="24"/>
              </w:rPr>
              <w:t xml:space="preserve">If you have multiple accounts across different brokerages, don't worry. The tool is designed to handle calculations for multiple accounts seamlessly. </w:t>
            </w:r>
            <w:r>
              <w:rPr>
                <w:rFonts w:ascii="Times New Roman" w:hAnsi="Times New Roman"/>
                <w:b/>
                <w:sz w:val="24"/>
                <w:szCs w:val="24"/>
              </w:rPr>
              <w:t xml:space="preserve">Here is the Shares calculator: </w:t>
            </w:r>
            <w:hyperlink r:id="rId4">
              <w:r>
                <w:rPr>
                  <w:rStyle w:val="InternetLink"/>
                  <w:rFonts w:ascii="Times New Roman" w:hAnsi="Times New Roman"/>
                  <w:b/>
                  <w:sz w:val="24"/>
                  <w:szCs w:val="24"/>
                  <w:u w:val="none"/>
                </w:rPr>
                <w:t>https://amcprojectpopcorn.com/sites/default/files/Affidavit-Calculations-Worksheet.xlsx</w:t>
              </w:r>
            </w:hyperlink>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10</w:t>
            </w:r>
          </w:p>
        </w:tc>
        <w:tc>
          <w:tcPr>
            <w:tcW w:w="8898" w:type="dxa"/>
            <w:tcBorders/>
          </w:tcPr>
          <w:p>
            <w:pPr>
              <w:pStyle w:val="Normal"/>
              <w:widowControl w:val="false"/>
              <w:suppressAutoHyphens w:val="true"/>
              <w:spacing w:before="0" w:after="0"/>
              <w:jc w:val="both"/>
              <w:rPr>
                <w:rFonts w:ascii="Times New Roman" w:hAnsi="Times New Roman"/>
                <w:position w:val="0"/>
                <w:sz w:val="24"/>
                <w:sz w:val="24"/>
                <w:szCs w:val="24"/>
                <w:vertAlign w:val="baseline"/>
                <w:lang w:val="en-US"/>
              </w:rPr>
            </w:pPr>
            <w:r>
              <w:rPr>
                <w:rFonts w:ascii="Times New Roman" w:hAnsi="Times New Roman"/>
                <w:b/>
                <w:bCs/>
                <w:kern w:val="0"/>
                <w:position w:val="0"/>
                <w:sz w:val="24"/>
                <w:sz w:val="24"/>
                <w:szCs w:val="24"/>
                <w:vertAlign w:val="baseline"/>
                <w:lang w:val="en-US"/>
              </w:rPr>
              <w:t xml:space="preserve">For in-person local Notary: </w:t>
            </w:r>
            <w:r>
              <w:rPr>
                <w:rFonts w:ascii="Times New Roman" w:hAnsi="Times New Roman"/>
                <w:kern w:val="0"/>
                <w:position w:val="0"/>
                <w:sz w:val="24"/>
                <w:sz w:val="24"/>
                <w:szCs w:val="24"/>
                <w:vertAlign w:val="baseline"/>
                <w:lang w:val="en-US"/>
              </w:rPr>
              <w:t>Once you are in front of the notary (in person or digitally), you can sign the affidavit and the notary can verify your identity and stamp the affidavit.</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11</w:t>
            </w:r>
          </w:p>
        </w:tc>
        <w:tc>
          <w:tcPr>
            <w:tcW w:w="8898" w:type="dxa"/>
            <w:tcBorders/>
          </w:tcPr>
          <w:p>
            <w:pPr>
              <w:pStyle w:val="NormalWeb"/>
              <w:keepNext w:val="false"/>
              <w:keepLines w:val="false"/>
              <w:widowControl w:val="false"/>
              <w:suppressAutoHyphens w:val="true"/>
              <w:bidi w:val="0"/>
              <w:spacing w:lineRule="auto" w:line="240" w:before="0" w:afterAutospacing="0" w:after="0"/>
              <w:jc w:val="both"/>
              <w:rPr>
                <w:rFonts w:ascii="Times New Roman" w:hAnsi="Times New Roman"/>
                <w:sz w:val="24"/>
                <w:szCs w:val="24"/>
              </w:rPr>
            </w:pPr>
            <w:r>
              <w:rPr>
                <w:rFonts w:cs="Times New Roman" w:ascii="Times New Roman" w:hAnsi="Times New Roman"/>
                <w:b/>
                <w:bCs/>
                <w:sz w:val="24"/>
                <w:szCs w:val="24"/>
              </w:rPr>
              <w:t xml:space="preserve">Scan or take an image or screen save </w:t>
            </w:r>
            <w:r>
              <w:rPr>
                <w:rFonts w:cs="Times New Roman" w:ascii="Times New Roman" w:hAnsi="Times New Roman"/>
                <w:sz w:val="24"/>
                <w:szCs w:val="24"/>
              </w:rPr>
              <w:t xml:space="preserve">of the notarized affidavit to your computer/email. Save as an image format such as </w:t>
            </w:r>
            <w:r>
              <w:rPr>
                <w:rFonts w:cs="Times New Roman" w:ascii="Times New Roman" w:hAnsi="Times New Roman"/>
                <w:b/>
                <w:bCs/>
                <w:sz w:val="24"/>
                <w:szCs w:val="24"/>
              </w:rPr>
              <w:t>JPG, JPEG, PNG or BMP</w:t>
            </w:r>
            <w:r>
              <w:rPr>
                <w:rFonts w:cs="Times New Roman" w:ascii="Times New Roman" w:hAnsi="Times New Roman"/>
                <w:sz w:val="24"/>
                <w:szCs w:val="24"/>
              </w:rPr>
              <w:t>.</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rHeight w:val="833" w:hRule="atLeast"/>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12</w:t>
            </w:r>
          </w:p>
        </w:tc>
        <w:tc>
          <w:tcPr>
            <w:tcW w:w="8898" w:type="dxa"/>
            <w:tcBorders/>
          </w:tcPr>
          <w:p>
            <w:pPr>
              <w:pStyle w:val="Normal"/>
              <w:widowControl w:val="false"/>
              <w:suppressAutoHyphens w:val="true"/>
              <w:spacing w:before="0" w:after="0"/>
              <w:jc w:val="both"/>
              <w:rPr/>
            </w:pPr>
            <w:r>
              <w:rPr>
                <w:rFonts w:ascii="Times New Roman" w:hAnsi="Times New Roman"/>
                <w:kern w:val="0"/>
                <w:position w:val="0"/>
                <w:sz w:val="24"/>
                <w:sz w:val="24"/>
                <w:szCs w:val="24"/>
                <w:vertAlign w:val="baseline"/>
                <w:lang w:val="en-US"/>
              </w:rPr>
              <w:t xml:space="preserve">Go to </w:t>
            </w:r>
            <w:hyperlink r:id="rId5">
              <w:r>
                <w:rPr>
                  <w:rStyle w:val="InternetLink"/>
                  <w:rFonts w:ascii="Times New Roman" w:hAnsi="Times New Roman"/>
                  <w:b/>
                  <w:bCs/>
                  <w:kern w:val="0"/>
                  <w:position w:val="0"/>
                  <w:sz w:val="24"/>
                  <w:sz w:val="24"/>
                  <w:szCs w:val="24"/>
                  <w:vertAlign w:val="baseline"/>
                  <w:lang w:val="en-US"/>
                </w:rPr>
                <w:t>https://amcprojectpopcorn.com/amc-share-count-affidavit-survey</w:t>
              </w:r>
            </w:hyperlink>
            <w:r>
              <w:rPr>
                <w:rFonts w:ascii="Times New Roman" w:hAnsi="Times New Roman"/>
                <w:kern w:val="0"/>
                <w:position w:val="0"/>
                <w:sz w:val="24"/>
                <w:sz w:val="24"/>
                <w:szCs w:val="24"/>
                <w:vertAlign w:val="baseline"/>
                <w:lang w:val="en-US"/>
              </w:rPr>
              <w:t xml:space="preserve"> to fill out the affidavit survey form in order to log your verified shares. You will be asked to attach a screenshot copy of the affidavit (in an image format such as PNG or JPEG). Reminder: Please only attach the affidavit. </w:t>
            </w:r>
            <w:r>
              <w:rPr>
                <w:rFonts w:ascii="Times New Roman" w:hAnsi="Times New Roman"/>
                <w:b/>
                <w:bCs/>
                <w:kern w:val="0"/>
                <w:position w:val="0"/>
                <w:sz w:val="24"/>
                <w:sz w:val="24"/>
                <w:szCs w:val="24"/>
                <w:vertAlign w:val="baseline"/>
                <w:lang w:val="en-US"/>
              </w:rPr>
              <w:t>Please DO NOT attach your brokerage statements or any sensitive personal data.</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r>
        <w:trPr/>
        <w:tc>
          <w:tcPr>
            <w:tcW w:w="506"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13</w:t>
            </w:r>
          </w:p>
        </w:tc>
        <w:tc>
          <w:tcPr>
            <w:tcW w:w="8898"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kern w:val="0"/>
                <w:position w:val="0"/>
                <w:sz w:val="24"/>
                <w:sz w:val="24"/>
                <w:szCs w:val="24"/>
                <w:vertAlign w:val="baseline"/>
                <w:lang w:val="en-US"/>
              </w:rPr>
              <w:t>Click submit to submit your affidavit survey form.</w:t>
            </w:r>
          </w:p>
        </w:tc>
        <w:tc>
          <w:tcPr>
            <w:tcW w:w="442" w:type="dxa"/>
            <w:tcBorders/>
          </w:tcPr>
          <w:p>
            <w:pPr>
              <w:pStyle w:val="Normal"/>
              <w:widowControl w:val="false"/>
              <w:suppressAutoHyphens w:val="true"/>
              <w:spacing w:before="0" w:after="0"/>
              <w:jc w:val="both"/>
              <w:rPr>
                <w:rFonts w:ascii="Times New Roman" w:hAnsi="Times New Roman" w:cs="Times New Roman"/>
                <w:position w:val="0"/>
                <w:sz w:val="24"/>
                <w:sz w:val="24"/>
                <w:szCs w:val="24"/>
                <w:vertAlign w:val="baseline"/>
                <w:lang w:val="en-US"/>
              </w:rPr>
            </w:pPr>
            <w:r>
              <w:rPr>
                <w:rFonts w:cs="Times New Roman" w:ascii="Times New Roman" w:hAnsi="Times New Roman"/>
                <w:position w:val="0"/>
                <w:sz w:val="24"/>
                <w:sz w:val="24"/>
                <w:szCs w:val="24"/>
                <w:vertAlign w:val="baseline"/>
                <w:lang w:val="en-US"/>
              </w:rPr>
            </w:r>
          </w:p>
        </w:tc>
      </w:tr>
    </w:tbl>
    <w:p>
      <w:pPr>
        <w:pStyle w:val="Normal"/>
        <w:numPr>
          <w:ilvl w:val="0"/>
          <w:numId w:val="0"/>
        </w:numPr>
        <w:ind w:left="0" w:hanging="0"/>
        <w:rPr>
          <w:rFonts w:ascii="Times New Roman" w:hAnsi="Times New Roman"/>
          <w:sz w:val="24"/>
          <w:szCs w:val="24"/>
        </w:rPr>
      </w:pPr>
      <w:r>
        <w:rPr>
          <w:rFonts w:ascii="Times New Roman" w:hAnsi="Times New Roman"/>
          <w:sz w:val="24"/>
          <w:szCs w:val="24"/>
        </w:rPr>
      </w:r>
    </w:p>
    <w:sectPr>
      <w:type w:val="nextPage"/>
      <w:pgSz w:w="11906" w:h="16838"/>
      <w:pgMar w:left="1080" w:right="1080" w:gutter="0" w:header="0" w:top="108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embedSystemFonts/>
  <w:defaultTabStop w:val="4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qFormat="1"/>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before="0" w:after="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0"/>
    <w:semiHidden/>
    <w:qFormat/>
    <w:rPr/>
  </w:style>
  <w:style w:type="character" w:styleId="InternetLink">
    <w:name w:val="Hyperlink"/>
    <w:basedOn w:val="DefaultParagraphFont"/>
    <w:uiPriority w:val="0"/>
    <w:qFormat/>
    <w:rPr>
      <w:color w:val="0000FF"/>
      <w:u w:val="singl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3">
    <w:name w:val="Normal Table"/>
    <w:uiPriority w:val="0"/>
    <w:semiHidden/>
    <w:qFormat/>
    <w:tblPr>
      <w:tblCellMar>
        <w:top w:w="0" w:type="dxa"/>
        <w:left w:w="108" w:type="dxa"/>
        <w:bottom w:w="0" w:type="dxa"/>
        <w:right w:w="108" w:type="dxa"/>
      </w:tblCellMar>
    </w:tblPr>
  </w:style>
  <w:style w:type="table" w:styleId="6">
    <w:name w:val="Table Grid"/>
    <w:basedOn w:val="3"/>
    <w:uiPriority w:val="0"/>
    <w:qFormat/>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mcprojectpopcorn.com/amc-share-count" TargetMode="External"/><Relationship Id="rId3" Type="http://schemas.openxmlformats.org/officeDocument/2006/relationships/hyperlink" Target="https://twitter.com/RbiTriples" TargetMode="External"/><Relationship Id="rId4" Type="http://schemas.openxmlformats.org/officeDocument/2006/relationships/hyperlink" Target="https://amcprojectpopcorn.com/sites/default/files/Affidavit-Calculations-Worksheet.xlsx" TargetMode="External"/><Relationship Id="rId5" Type="http://schemas.openxmlformats.org/officeDocument/2006/relationships/hyperlink" Target="https://amcprojectpopcorn.com/amc-share-count-affidavit-survey"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256</TotalTime>
  <Application>LibreOffice/7.2.1.2$Windows_X86_64 LibreOffice_project/87b77fad49947c1441b67c559c339af8f3517e22</Application>
  <AppVersion>15.0000</AppVersion>
  <Pages>1</Pages>
  <Words>531</Words>
  <Characters>2772</Characters>
  <CharactersWithSpaces>3272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2023-08-27T01:52:00Z</dcterms:created>
  <dc:creator>jorda</dc:creator>
  <dc:description/>
  <dc:language>en-US</dc:language>
  <cp:lastModifiedBy/>
  <dcterms:modified xsi:type="dcterms:W3CDTF">2023-10-29T18:32:24Z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1160F7F258A0455C9667CD2524CB2C78</vt:lpwstr>
  </property>
  <property fmtid="{D5CDD505-2E9C-101B-9397-08002B2CF9AE}" pid="3" name="KSOProductBuildVer">
    <vt:lpwstr>1033-11.2.0.11225</vt:lpwstr>
  </property>
</Properties>
</file>